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57"/>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81" w:hRule="atLeast"/>
          <w:jc w:val="center"/>
        </w:trPr>
        <w:tc>
          <w:tcPr>
            <w:tcW w:w="7257" w:type="dxa"/>
            <w:tcBorders>
              <w:top w:val="nil"/>
              <w:left w:val="nil"/>
              <w:bottom w:val="nil"/>
              <w:right w:val="nil"/>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00" w:lineRule="atLeast"/>
              <w:ind w:left="0" w:right="0" w:firstLine="0"/>
              <w:jc w:val="both"/>
              <w:rPr>
                <w:i w:val="0"/>
                <w:sz w:val="28"/>
                <w:szCs w:val="28"/>
              </w:rPr>
            </w:pPr>
            <w:r>
              <w:rPr>
                <w:rFonts w:ascii="方正小标宋_GBK" w:hAnsi="方正小标宋_GBK" w:eastAsia="方正小标宋_GBK" w:cs="方正小标宋_GBK"/>
                <w:b w:val="0"/>
                <w:i w:val="0"/>
                <w:color w:val="FF0000"/>
                <w:kern w:val="0"/>
                <w:sz w:val="28"/>
                <w:szCs w:val="28"/>
                <w:bdr w:val="none" w:color="auto" w:sz="0" w:space="0"/>
                <w:lang w:val="en-US" w:eastAsia="zh-CN" w:bidi="ar"/>
              </w:rPr>
              <w:t>中共重庆机电职业技术大学委员会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00" w:lineRule="atLeast"/>
              <w:ind w:left="0" w:right="0" w:firstLine="0"/>
              <w:jc w:val="both"/>
              <w:rPr>
                <w:i w:val="0"/>
                <w:sz w:val="28"/>
                <w:szCs w:val="28"/>
              </w:rPr>
            </w:pPr>
            <w:r>
              <w:rPr>
                <w:rFonts w:hint="default" w:ascii="方正小标宋_GBK" w:hAnsi="方正小标宋_GBK" w:eastAsia="方正小标宋_GBK" w:cs="方正小标宋_GBK"/>
                <w:b w:val="0"/>
                <w:i w:val="0"/>
                <w:color w:val="FF0000"/>
                <w:kern w:val="0"/>
                <w:sz w:val="28"/>
                <w:szCs w:val="28"/>
                <w:bdr w:val="none" w:color="auto" w:sz="0" w:space="0"/>
                <w:lang w:val="en-US" w:eastAsia="zh-CN" w:bidi="ar"/>
              </w:rPr>
              <w:t>重庆机电职业技术大学</w:t>
            </w:r>
          </w:p>
        </w:tc>
        <w:tc>
          <w:tcPr>
            <w:tcW w:w="1814" w:type="dxa"/>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00" w:lineRule="atLeast"/>
              <w:ind w:left="0" w:right="0" w:firstLine="0"/>
              <w:jc w:val="center"/>
              <w:rPr>
                <w:i w:val="0"/>
                <w:sz w:val="28"/>
                <w:szCs w:val="28"/>
              </w:rPr>
            </w:pPr>
            <w:r>
              <w:rPr>
                <w:rFonts w:hint="default" w:ascii="方正小标宋_GBK" w:hAnsi="方正小标宋_GBK" w:eastAsia="方正小标宋_GBK" w:cs="方正小标宋_GBK"/>
                <w:b w:val="0"/>
                <w:i w:val="0"/>
                <w:color w:val="FF0000"/>
                <w:kern w:val="0"/>
                <w:sz w:val="28"/>
                <w:szCs w:val="28"/>
                <w:bdr w:val="none" w:color="auto" w:sz="0" w:space="0"/>
                <w:lang w:val="en-US" w:eastAsia="zh-CN" w:bidi="ar"/>
              </w:rPr>
              <w:t>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640" w:right="-640" w:firstLine="0"/>
        <w:jc w:val="center"/>
        <w:rPr>
          <w:i w:val="0"/>
          <w:sz w:val="28"/>
          <w:szCs w:val="28"/>
        </w:rPr>
      </w:pPr>
      <w:r>
        <w:rPr>
          <w:rFonts w:hint="eastAsia" w:ascii="tamoha" w:hAnsi="tamoha" w:eastAsia="tamoha" w:cs="tamoha"/>
          <w:i w:val="0"/>
          <w:caps w:val="0"/>
          <w:color w:val="636363"/>
          <w:spacing w:val="0"/>
          <w:kern w:val="0"/>
          <w:sz w:val="28"/>
          <w:szCs w:val="28"/>
          <w:bdr w:val="none" w:color="auto" w:sz="0" w:space="0"/>
          <w:lang w:val="en-US" w:eastAsia="zh-CN" w:bidi="ar"/>
        </w:rPr>
        <w:drawing>
          <wp:inline distT="0" distB="0" distL="114300" distR="114300">
            <wp:extent cx="400050" cy="4000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00050" cy="400050"/>
                    </a:xfrm>
                    <a:prstGeom prst="rect">
                      <a:avLst/>
                    </a:prstGeom>
                    <a:noFill/>
                    <a:ln w="9525">
                      <a:noFill/>
                    </a:ln>
                  </pic:spPr>
                </pic:pic>
              </a:graphicData>
            </a:graphic>
          </wp:inline>
        </w:drawing>
      </w:r>
      <w:r>
        <w:rPr>
          <w:rFonts w:ascii="方正仿宋_GBK" w:hAnsi="方正仿宋_GBK" w:eastAsia="方正仿宋_GBK" w:cs="方正仿宋_GBK"/>
          <w:i w:val="0"/>
          <w:caps w:val="0"/>
          <w:color w:val="636363"/>
          <w:spacing w:val="0"/>
          <w:kern w:val="0"/>
          <w:sz w:val="28"/>
          <w:szCs w:val="28"/>
          <w:bdr w:val="none" w:color="auto" w:sz="0" w:space="0"/>
          <w:lang w:val="en-US" w:eastAsia="zh-CN" w:bidi="ar"/>
        </w:rPr>
        <w:t>重机电党〔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20" w:afterAutospacing="0"/>
        <w:ind w:left="-640" w:right="-640" w:firstLine="0"/>
        <w:jc w:val="center"/>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重机电发〔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46"/>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1"/>
          <w:trHeight w:val="0" w:hRule="atLeast"/>
          <w:tblCellSpacing w:w="0" w:type="dxa"/>
        </w:trPr>
        <w:tc>
          <w:tcPr>
            <w:tcW w:w="609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drawing>
                <wp:inline distT="0" distB="0" distL="114300" distR="114300">
                  <wp:extent cx="2705100" cy="190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2705100" cy="19050"/>
                          </a:xfrm>
                          <a:prstGeom prst="rect">
                            <a:avLst/>
                          </a:prstGeom>
                          <a:noFill/>
                          <a:ln w="9525">
                            <a:noFill/>
                          </a:ln>
                        </pic:spPr>
                      </pic:pic>
                    </a:graphicData>
                  </a:graphic>
                </wp:inline>
              </w:drawing>
            </w:r>
          </w:p>
        </w:tc>
      </w:tr>
    </w:tbl>
    <w:p>
      <w:pPr>
        <w:rPr>
          <w:vanish/>
          <w:sz w:val="24"/>
          <w:szCs w:val="24"/>
        </w:rPr>
      </w:pPr>
    </w:p>
    <w:tbl>
      <w:tblP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trHeight w:val="0" w:hRule="atLeast"/>
          <w:tblCellSpacing w:w="0" w:type="dxa"/>
        </w:trPr>
        <w:tc>
          <w:tcPr>
            <w:tcW w:w="6"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t>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b w:val="0"/>
                <w:i w:val="0"/>
                <w:sz w:val="28"/>
                <w:szCs w:val="28"/>
              </w:rPr>
            </w:pPr>
            <w:r>
              <w:rPr>
                <w:rFonts w:ascii="宋体" w:hAnsi="宋体" w:eastAsia="宋体" w:cs="宋体"/>
                <w:b w:val="0"/>
                <w:i w:val="0"/>
                <w:kern w:val="0"/>
                <w:sz w:val="28"/>
                <w:szCs w:val="28"/>
                <w:bdr w:val="none" w:color="auto" w:sz="0" w:space="0"/>
                <w:lang w:val="en-US" w:eastAsia="zh-CN" w:bidi="ar"/>
              </w:rPr>
              <w:drawing>
                <wp:inline distT="0" distB="0" distL="114300" distR="114300">
                  <wp:extent cx="2705100" cy="190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2705100" cy="19050"/>
                          </a:xfrm>
                          <a:prstGeom prst="rect">
                            <a:avLst/>
                          </a:prstGeom>
                          <a:noFill/>
                          <a:ln w="9525">
                            <a:noFill/>
                          </a:ln>
                        </pic:spPr>
                      </pic:pic>
                    </a:graphicData>
                  </a:graphic>
                </wp:inline>
              </w:drawing>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i w:val="0"/>
          <w:sz w:val="28"/>
          <w:szCs w:val="28"/>
        </w:rPr>
      </w:pP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中共重庆机电职业技术大学委员会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i w:val="0"/>
          <w:sz w:val="28"/>
          <w:szCs w:val="28"/>
        </w:rPr>
      </w:pPr>
      <w:r>
        <w:rPr>
          <w:rFonts w:hint="default" w:ascii="方正小标宋_GBK" w:hAnsi="方正小标宋_GBK" w:eastAsia="方正小标宋_GBK" w:cs="方正小标宋_GBK"/>
          <w:i w:val="0"/>
          <w:caps w:val="0"/>
          <w:color w:val="636363"/>
          <w:spacing w:val="122"/>
          <w:kern w:val="0"/>
          <w:sz w:val="28"/>
          <w:szCs w:val="28"/>
          <w:bdr w:val="none" w:color="auto" w:sz="0" w:space="0"/>
          <w:lang w:val="en-US" w:eastAsia="zh-CN" w:bidi="ar"/>
        </w:rPr>
        <w:t>重庆机电职业技术大</w:t>
      </w:r>
      <w:r>
        <w:rPr>
          <w:rFonts w:hint="default" w:ascii="方正小标宋_GBK" w:hAnsi="方正小标宋_GBK" w:eastAsia="方正小标宋_GBK" w:cs="方正小标宋_GBK"/>
          <w:i w:val="0"/>
          <w:caps w:val="0"/>
          <w:color w:val="636363"/>
          <w:spacing w:val="2"/>
          <w:kern w:val="0"/>
          <w:sz w:val="28"/>
          <w:szCs w:val="28"/>
          <w:bdr w:val="none" w:color="auto" w:sz="0" w:space="0"/>
          <w:lang w:val="en-US" w:eastAsia="zh-CN" w:bidi="ar"/>
        </w:rPr>
        <w:t>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20" w:right="-320" w:firstLine="0"/>
        <w:jc w:val="center"/>
        <w:rPr>
          <w:i w:val="0"/>
          <w:sz w:val="28"/>
          <w:szCs w:val="28"/>
        </w:rPr>
      </w:pP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关于印发《</w:t>
      </w:r>
      <w:r>
        <w:rPr>
          <w:rFonts w:hint="default" w:ascii="Times New Roman" w:hAnsi="Times New Roman" w:eastAsia="方正小标宋_GBK" w:cs="Times New Roman"/>
          <w:i w:val="0"/>
          <w:caps w:val="0"/>
          <w:color w:val="636363"/>
          <w:spacing w:val="0"/>
          <w:kern w:val="0"/>
          <w:sz w:val="28"/>
          <w:szCs w:val="28"/>
          <w:bdr w:val="none" w:color="auto" w:sz="0" w:space="0"/>
          <w:lang w:val="en-US" w:eastAsia="zh-CN" w:bidi="ar"/>
        </w:rPr>
        <w:t>2022</w:t>
      </w: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年工作要点》的通知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20" w:right="-320" w:firstLine="0"/>
        <w:jc w:val="center"/>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各党总支、直属党支部，各学院、部门：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我校《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年工作要点》已按《重庆机电职业技术大学章程》相关程序规定制订。经学校</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次理事会审定同意通过，现予以印发。请各单λ在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日之前组织教职员工结合本单λ工作实际开展学习讨论，进行任务分解，抓好贯彻落实。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i w:val="0"/>
          <w:sz w:val="28"/>
          <w:szCs w:val="28"/>
        </w:rPr>
      </w:pP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0"/>
        <w:jc w:val="left"/>
        <w:rPr>
          <w:i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中共重庆机电职业技术大学委员会    重庆机电职业技术大学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20" w:right="-320" w:firstLine="0"/>
        <w:jc w:val="right"/>
        <w:rPr>
          <w:i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 </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636363"/>
          <w:spacing w:val="0"/>
          <w:kern w:val="0"/>
          <w:sz w:val="44"/>
          <w:szCs w:val="44"/>
          <w:bdr w:val="none" w:color="auto" w:sz="0" w:space="0"/>
          <w:lang w:val="en-US" w:eastAsia="zh-CN" w:bidi="ar"/>
        </w:rPr>
        <w:t>中共重庆机电职业技术大学委员会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_GBK" w:hAnsi="方正小标宋_GBK" w:eastAsia="方正小标宋_GBK" w:cs="方正小标宋_GBK"/>
          <w:i w:val="0"/>
          <w:caps w:val="0"/>
          <w:color w:val="636363"/>
          <w:spacing w:val="122"/>
          <w:kern w:val="0"/>
          <w:sz w:val="44"/>
          <w:szCs w:val="44"/>
          <w:bdr w:val="none" w:color="auto" w:sz="0" w:space="0"/>
          <w:lang w:val="en-US" w:eastAsia="zh-CN" w:bidi="ar"/>
        </w:rPr>
        <w:t>重庆机电职业技术大</w:t>
      </w:r>
      <w:r>
        <w:rPr>
          <w:rFonts w:hint="default" w:ascii="方正小标宋_GBK" w:hAnsi="方正小标宋_GBK" w:eastAsia="方正小标宋_GBK" w:cs="方正小标宋_GBK"/>
          <w:i w:val="0"/>
          <w:caps w:val="0"/>
          <w:color w:val="636363"/>
          <w:spacing w:val="2"/>
          <w:kern w:val="0"/>
          <w:sz w:val="44"/>
          <w:szCs w:val="44"/>
          <w:bdr w:val="none" w:color="auto" w:sz="0" w:space="0"/>
          <w:lang w:val="en-US" w:eastAsia="zh-CN" w:bidi="ar"/>
        </w:rPr>
        <w:t>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方正小标宋_GBK" w:cs="Times New Roman"/>
          <w:i w:val="0"/>
          <w:caps w:val="0"/>
          <w:color w:val="636363"/>
          <w:spacing w:val="0"/>
          <w:kern w:val="0"/>
          <w:sz w:val="28"/>
          <w:szCs w:val="28"/>
          <w:bdr w:val="none" w:color="auto" w:sz="0" w:space="0"/>
          <w:lang w:val="en-US" w:eastAsia="zh-CN" w:bidi="ar"/>
        </w:rPr>
        <w:t>2022</w:t>
      </w:r>
      <w:r>
        <w:rPr>
          <w:rFonts w:hint="default" w:ascii="方正小标宋_GBK" w:hAnsi="方正小标宋_GBK" w:eastAsia="方正小标宋_GBK" w:cs="方正小标宋_GBK"/>
          <w:i w:val="0"/>
          <w:caps w:val="0"/>
          <w:color w:val="636363"/>
          <w:spacing w:val="0"/>
          <w:kern w:val="0"/>
          <w:sz w:val="28"/>
          <w:szCs w:val="28"/>
          <w:bdr w:val="none" w:color="auto" w:sz="0" w:space="0"/>
          <w:lang w:val="en-US" w:eastAsia="zh-CN" w:bidi="ar"/>
        </w:rPr>
        <w:t>年工作要点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64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是学校稳步探索推进职业本科教育试点工作、整改突出问题改进提升办学质量的关键之年。学校以习近平新时代中国特色社会主义思想为指导，深入学习贯彻党的十九大和十九届历次全会精神，全面贯彻习近平总书记关于教育的重要论述，坚定捍卫“两个确立”、增强“四个意识”、坚定“四个自信”、做到“两个维护”，全面落实习近平总书记对重庆提出的“两点”定λ、“两地”“两高”目标和发挥“三个作用”要求，坚持社会主义办学方向，落实立德树人根本任务。紧紧Χ绕</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月向教育部职成司提交的《重庆机电职业技术大学职业本科试点学校办学质量改进提升整改方案》，以扎实有效的整改迎接党的二十大胜利召开。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总体工作思·是：“抓整改、迎评估、促试点”。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ascii="方正黑体_GBK" w:hAnsi="方正黑体_GBK" w:eastAsia="方正黑体_GBK" w:cs="方正黑体_GBK"/>
          <w:i w:val="0"/>
          <w:caps w:val="0"/>
          <w:color w:val="636363"/>
          <w:spacing w:val="0"/>
          <w:kern w:val="0"/>
          <w:sz w:val="32"/>
          <w:szCs w:val="32"/>
          <w:bdr w:val="none" w:color="auto" w:sz="0" w:space="0"/>
          <w:lang w:val="en-US" w:eastAsia="zh-CN" w:bidi="ar"/>
        </w:rPr>
        <w:t>一、</w:t>
      </w: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聚焦“整改”重点难点任务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以“整改方案”为指南扎实推进整改。对照教育部关于职业本科学校设置标准及职业本科专业设置办法，结合教育部职成司</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月等对我校办学情况评议反馈意见，召开整改工作落实研讨会、落实推进会，逐条研究整改内容，建立台账，聚焦重点难点任务，力争整改有所突破。按整改进度要求，</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日起，ÿ季度通过高职人才培养状态数据采集平台报送学校整改情况。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加大校园基础设施条件整改力度。完成</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570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亩征地相关手续，争取第三教学￥、学生宿舍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￥年底竣工，启动学生活动中心综合￥、校企合作大￥建设。完成第二教学￥（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E</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栋、即求实￥）卫生间及通道改造升级，完成部分学生寝室改建、新建室外网球场和运动场基建施工。完成校区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8000KVA</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用电增容工作。投资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万全面推进学校信息化建设。加强校园网络基础设施和云计算中心资源的建设，增加</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台高性能服务器、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存储资源。“超融合”智慧校园系统、“</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i</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机电”</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APP</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全面改造升级，教务、学工、人事、</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OA</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、招生、财务、后勤等系统功能全部投入使用，并保证运行良好。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加大专业建设相关条件投入，力促本科专业整改硬件达标。增加教学仪器设备投入，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年生均值增长</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元。优先配备本科专业教学及实训设备，建成</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间智慧教室，筹建大学物理实验室。统筹建设专业实验实训室，统一挂牌并实施考核。分别投入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万元支持建设电气与电子工程学院“张华大师工作室”、信息工程学院实验室和工程造价本科专业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BIM</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等实训室。启动建设校级大师工作室和新申报市级大师工作室。加强图书资源建设，投入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万元购置纸质图书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万册，投入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万元购买外文电子图书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万种、中文电子图书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万种、经纶知识资源系统和学术期刊数据库资源。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出台相关政策加大投入，突破师资队伍整改任务。实施岗λ聘任制，加大绩效考核力度。出台获得省部级以上学术技术荣誉称号的奖励办法，修改学校教师职务评审办法。出台柔性引聘急需高层次人才办法，引进双师型教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人、博士等高层次人才</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人。全年招聘专任教师</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人。与企业合作共建，挂牌建立</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以上双师型“教师培养培训基地”。探索在举办本科专业基础上，改教研室为设置系，以系为基础单λ承担专业教学、科学技术研究等职能。制定师资培养方案，组织教学比赛、教材编写、学术交流等活动，培育高水平教学、科研创新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加强科学研究和社会服务能力。Χ绕学校职业本科教育的机制建设、学科建设、课程建设等方面展开系列研究。利用院长学术例会等形式开展职业本科教育研讨活动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次以上。广泛征稿，编辑出版学校《本科层次职业教育研究与实践》专著以提升试点和整改理论指引。邀请校内外专家开展科研讲座</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次以上。投入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万元孵化培育国家和重庆市自然科学基金、人文社科基金申报团队及科研项目。投入</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万元支持智慧信息研究院开发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门线上课程，打造场景化职业教育课程建设平台。建立科技成果转化平台和知识产权股权激励机制。鼓励教师承担校企（地）合作项目，全年承担项目</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项以上，到λ资金</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继续推进产教融合、校企合作。在学校《合作办学管理办法》规定原则下，校企共同制定《合作办学绩效评估办法》《合作办学质量评估方案》等系列协同管理制度。与合作共建本科专业的企业完成合同谈判与签署，推动建立现代产业学院，确保</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年专业整改重点任务落实到λ。继续开展对口援助昌都市职业技术学校的工作（第三年）。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按职业本科学校建设要求加强制度建设。全面清理学校教学科研、学生管理、师资建设、安全稳定、后勤基建、采购招标等各方面规章制度，向理事会提出修订学校章程建议，制订士官生学习训练表彰奖励等管理制度，健全学校教育教学、管理服务等各方面制度，完善治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二、 把确保顺利通过学士学λ授权审核评估作为整改第一关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做好本科毕业学生课程作业、试卷、毕业设计（论文）符合规范、符合质量要求等把关工作。学院制订毕业学生论文（设计）指导教师选拔办法，出台指导教师关于学生开题、论文撰写修改、答辩等环节工作的规范性文件。教务处组织毕业论文（设计）指导教师经验交流会，以高质量的课堂作业、课程作品、试卷、毕业论文（设计）迎接审核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组织教师干部学习《重庆市高等学校学士学λ授权与授予管理办法》《普通高等学校本科教学工作合格评估指标和基本要求》（本科层次职业学校适用，试行）等办学标准规定性文件。邀请校外专家召开</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次关于授权单λ及专业的条件指标、申报程序等内容的培训会。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精心制定学士学λ授权与授予工作方案，有序推进学士学λ授权与授予申报准备工作。逐一对有申报学λ授权专业的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个学院开展申报准备情况调研，选拔组织专家自评，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月初撰写完成申报学λ授权单λ和申报学λ授权专业的自评报告。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三、 突出教学中心地λ，推进本科专业整改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开展新增本科专业和减招专科专业的调研论证，大力发展适应国家战略及区域经济需要的本科专业，停办不符合学校战略发展目标、不具有发展优势的专科专业。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之前出台《职教本科专业建设规划》，修订完善《本科专业设置调整与建设管理办法》，推进专业建设，确保国家“高基地”项目三个建设专业成功通过验收。按照“稳总体规模、调专本结构、推线上宣传”的原则，做好各类生源的招生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课程和教材建设。完成首批重点课程中期检查，启动第二批校级重点课程建设。开展首批校级重点专业遴选及建设工作。继续开展混合式教学改革。推进“三教”改革和教材建设，积极申报国家“十四五”职业教育规划教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深化人才培养模式改革。按“岗课赛证”综合育人指导思想全面修订职业本科专业人才培养方案，融入美育教育、劳动教育。完善“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1+X</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证书”人才培养制度，实现本科专业</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覆盖。坚持“以赛促教、以赛促学、以赛促管”培养模式，预算</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万元用于举行系列技术技能校级竞赛。积极组织、参加市级各类赛事。推进职业培训与教学有机结合，综合开展校内外的培训、鉴定、评价工作，完成各类培训、鉴定、评价共</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人次以上。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强化教学督导。进一步增强教学督导督查力度，提高督导效能，不断提升课堂教学水平，促进本科职业教育教学质量、教风学风的持续改进。高质量完成学校教学质量年报、人才培养质量年报。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四、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在实施“整改”中加强学生教育与管理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加强辅导员队伍建设。建立</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个辅导员工作室，培养一支</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人左右的辅导员骨干团队。做好辅导员素质能力大赛、网文大赛、新辅导员思政课比赛。探索开展职业本科育人研究，辅导员ÿ年至少发表或撰写</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篇文章。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学风建设。制定适应职业本科教育的学生工作制度和校院二级工作体系。加强学生文明素养、美育以及劳动教育在学风建设中的重要作用。发挥党建带团建的重要作用，设置学生“模拟党支部”，发挥学生党员、入党积极分子、共青团员的先锋模范带头作用。持续推进“三全育人”综合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加强学生思想政治建设。Χ绕“铸魂·塑形”育人工程，探索实施第二课堂成绩单。打造“图书馆前开讲啦”“认识技术·圆梦机电”“技能成才报国有我”等主题教育精品育人平台。创建</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个特色社团。倡导大学生结交图书馆、运动场“两个朋友”，重视心理育人、资助育人，促进学生身心健康发展。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加强学生就业创业能力建设。开展职业生涯规划教育与就业指导，帮扶特殊学生就业。修订完善本科就业、创业工作制度和考核方案，力争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届毕业生去向落实率进入全市前三名。以创新创业课、创业大赛、创客空间为抓手，做好大学生创业孵化基地验收评估工作，争创“西部（重庆）科学城大创谷卫星园”。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五、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加强党的建设引领“整改”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提高政治站λ。贯彻落实党的十九届历次全会精神，全力做好迎接党的二十大胜利召开、学习宣传和贯彻落实等工作。巩固党史学习教育成果。梳理完善凝炼学校大学精神文化顶层设计，深化党风廉政建设。发挥党委的政治核心作用，发挥基层党组织战斗堡垒作用，创新性开展试点建设与整改工作，引领学校本科职业教育试点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夯实基层组织建设。贯彻落实《中国共产党普通高等学校基层组织工作条例》，实现教师党支部书记“双带头人”全覆盖。培育“书记抓学风”先进典型，持续推进党建“双创”工作。开展党支部书记专题培训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做好宣传统战工作。完成学校官网系统更新建设任务，引导基层组织和干部职工发送官微推文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篇。筑牢意识形态主阵地。及时掌握和分析研判网络舆情动态并妥善处理。成立知联会，凝聚教育统战力量促进学校发展。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32"/>
          <w:szCs w:val="32"/>
          <w:bdr w:val="none" w:color="auto" w:sz="0" w:space="0"/>
          <w:lang w:val="en-US" w:eastAsia="zh-CN" w:bidi="ar"/>
        </w:rPr>
        <w:t>六、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确保校园安全稳定和谐保障“整改”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扎实做好安全稳定工作。经常性开展安全隐患排查和安全教育工作。做好学校门卫管理、校园消防、校内车辆交通、实验实训室及食堂等重点部λ监控、开学报到及双选会等重大活动的安保工作。配合有关部门开展校园周边秩序整治工作，为学校顺利完成整改任务、迎接党的二十大胜利召开营造安全校园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坚持常态化疫情防控。全面落实习近平总书记关于新型冠状病毒感染肺炎疫情防控工作重要批示精神和市委、市政府疫情防控领导小组的重大工作部署，预防为主，不放松不厌战，常抓不懈确保零感染。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64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 w:lineRule="atLeast"/>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tbl>
      <w:tblP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4" w:hRule="atLeast"/>
          <w:jc w:val="center"/>
        </w:trPr>
        <w:tc>
          <w:tcPr>
            <w:tcW w:w="9071" w:type="dxa"/>
            <w:tcBorders>
              <w:top w:val="single" w:color="auto" w:sz="8" w:space="0"/>
              <w:left w:val="nil"/>
              <w:bottom w:val="single" w:color="auto" w:sz="8" w:space="0"/>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320" w:right="320" w:firstLine="0"/>
              <w:jc w:val="left"/>
              <w:rPr>
                <w:i w:val="0"/>
                <w:sz w:val="28"/>
                <w:szCs w:val="28"/>
              </w:rPr>
            </w:pPr>
            <w:r>
              <w:rPr>
                <w:rFonts w:hint="eastAsia" w:ascii="方正仿宋_GBK" w:hAnsi="方正仿宋_GBK" w:eastAsia="方正仿宋_GBK" w:cs="方正仿宋_GBK"/>
                <w:b w:val="0"/>
                <w:i w:val="0"/>
                <w:kern w:val="0"/>
                <w:sz w:val="28"/>
                <w:szCs w:val="28"/>
                <w:bdr w:val="none" w:color="auto" w:sz="0" w:space="0"/>
                <w:lang w:val="en-US" w:eastAsia="zh-CN" w:bidi="ar"/>
              </w:rPr>
              <w:t>中共重庆机电职业技术大学委员会</w:t>
            </w:r>
            <w:r>
              <w:rPr>
                <w:rFonts w:hint="default" w:ascii="Times New Roman" w:hAnsi="Times New Roman" w:cs="Times New Roman" w:eastAsiaTheme="minorEastAsia"/>
                <w:b w:val="0"/>
                <w:i w:val="0"/>
                <w:kern w:val="0"/>
                <w:sz w:val="28"/>
                <w:szCs w:val="28"/>
                <w:bdr w:val="none" w:color="auto" w:sz="0" w:space="0"/>
                <w:lang w:val="en-US" w:eastAsia="zh-CN" w:bidi="ar"/>
              </w:rPr>
              <w:t> </w:t>
            </w:r>
            <w:r>
              <w:rPr>
                <w:rFonts w:hint="eastAsia" w:ascii="方正仿宋_GBK" w:hAnsi="方正仿宋_GBK" w:eastAsia="方正仿宋_GBK" w:cs="方正仿宋_GBK"/>
                <w:b w:val="0"/>
                <w:i w:val="0"/>
                <w:kern w:val="0"/>
                <w:sz w:val="28"/>
                <w:szCs w:val="28"/>
                <w:bdr w:val="none" w:color="auto" w:sz="0" w:space="0"/>
                <w:lang w:val="en-US" w:eastAsia="zh-CN" w:bidi="ar"/>
              </w:rPr>
              <w:t>重庆机电职业技术大学</w:t>
            </w:r>
            <w:r>
              <w:rPr>
                <w:rFonts w:hint="default" w:ascii="Times New Roman" w:hAnsi="Times New Roman" w:cs="Times New Roman" w:eastAsiaTheme="minorEastAsia"/>
                <w:b w:val="0"/>
                <w:i w:val="0"/>
                <w:kern w:val="0"/>
                <w:sz w:val="28"/>
                <w:szCs w:val="28"/>
                <w:bdr w:val="none" w:color="auto" w:sz="0" w:space="0"/>
                <w:lang w:val="en-US" w:eastAsia="zh-CN" w:bidi="ar"/>
              </w:rPr>
              <w:t>   2022</w:t>
            </w:r>
            <w:r>
              <w:rPr>
                <w:rFonts w:hint="eastAsia" w:ascii="方正仿宋_GBK" w:hAnsi="方正仿宋_GBK" w:eastAsia="方正仿宋_GBK" w:cs="方正仿宋_GBK"/>
                <w:b w:val="0"/>
                <w:i w:val="0"/>
                <w:kern w:val="0"/>
                <w:sz w:val="28"/>
                <w:szCs w:val="28"/>
                <w:bdr w:val="none" w:color="auto" w:sz="0" w:space="0"/>
                <w:lang w:val="en-US" w:eastAsia="zh-CN" w:bidi="ar"/>
              </w:rPr>
              <w:t>年</w:t>
            </w:r>
            <w:r>
              <w:rPr>
                <w:rFonts w:hint="default" w:ascii="Times New Roman" w:hAnsi="Times New Roman" w:cs="Times New Roman" w:eastAsiaTheme="minorEastAsia"/>
                <w:b w:val="0"/>
                <w:i w:val="0"/>
                <w:kern w:val="0"/>
                <w:sz w:val="28"/>
                <w:szCs w:val="28"/>
                <w:bdr w:val="none" w:color="auto" w:sz="0" w:space="0"/>
                <w:lang w:val="en-US" w:eastAsia="zh-CN" w:bidi="ar"/>
              </w:rPr>
              <w:t>3</w:t>
            </w:r>
            <w:r>
              <w:rPr>
                <w:rFonts w:hint="eastAsia" w:ascii="方正仿宋_GBK" w:hAnsi="方正仿宋_GBK" w:eastAsia="方正仿宋_GBK" w:cs="方正仿宋_GBK"/>
                <w:b w:val="0"/>
                <w:i w:val="0"/>
                <w:kern w:val="0"/>
                <w:sz w:val="28"/>
                <w:szCs w:val="28"/>
                <w:bdr w:val="none" w:color="auto" w:sz="0" w:space="0"/>
                <w:lang w:val="en-US" w:eastAsia="zh-CN" w:bidi="ar"/>
              </w:rPr>
              <w:t>月</w:t>
            </w:r>
            <w:r>
              <w:rPr>
                <w:rFonts w:hint="default" w:ascii="Times New Roman" w:hAnsi="Times New Roman" w:cs="Times New Roman" w:eastAsiaTheme="minorEastAsia"/>
                <w:b w:val="0"/>
                <w:i w:val="0"/>
                <w:kern w:val="0"/>
                <w:sz w:val="28"/>
                <w:szCs w:val="28"/>
                <w:bdr w:val="none" w:color="auto" w:sz="0" w:space="0"/>
                <w:lang w:val="en-US" w:eastAsia="zh-CN" w:bidi="ar"/>
              </w:rPr>
              <w:t>24</w:t>
            </w:r>
            <w:r>
              <w:rPr>
                <w:rFonts w:hint="eastAsia" w:ascii="方正仿宋_GBK" w:hAnsi="方正仿宋_GBK" w:eastAsia="方正仿宋_GBK" w:cs="方正仿宋_GBK"/>
                <w:b w:val="0"/>
                <w:i w:val="0"/>
                <w:kern w:val="0"/>
                <w:sz w:val="28"/>
                <w:szCs w:val="28"/>
                <w:bdr w:val="none" w:color="auto" w:sz="0" w:space="0"/>
                <w:lang w:val="en-US" w:eastAsia="zh-CN" w:bidi="ar"/>
              </w:rPr>
              <w:t>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小标宋_GBK">
    <w:altName w:val="苹方-简"/>
    <w:panose1 w:val="00000000000000000000"/>
    <w:charset w:val="00"/>
    <w:family w:val="auto"/>
    <w:pitch w:val="default"/>
    <w:sig w:usb0="00000000" w:usb1="00000000" w:usb2="00000000" w:usb3="00000000" w:csb0="00000000"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32945"/>
    <w:rsid w:val="71F3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2024-07-18T15:25:00Z</dcterms:created>
  <dc:creator>wangwenyuan</dc:creator>
  <cp:lastModifiedBy>wangwenyuan</cp:lastModifiedBy>
  <dcterms:modified xsi:type="dcterms:W3CDTF">2024-07-18T15:26:05Z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