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624" w:beforeAutospacing="0" w:after="0" w:afterAutospacing="0"/>
        <w:ind w:left="-440" w:right="-440"/>
        <w:jc w:val="center"/>
        <w:rPr>
          <w:i w:val="0"/>
          <w:sz w:val="28"/>
          <w:szCs w:val="28"/>
        </w:rPr>
      </w:pPr>
      <w:r>
        <w:rPr>
          <w:rFonts w:ascii="方正仿宋_GBK" w:hAnsi="方正仿宋_GBK" w:eastAsia="方正仿宋_GBK" w:cs="方正仿宋_GBK"/>
          <w:i w:val="0"/>
          <w:caps w:val="0"/>
          <w:color w:val="636363"/>
          <w:spacing w:val="0"/>
          <w:kern w:val="0"/>
          <w:sz w:val="28"/>
          <w:szCs w:val="28"/>
          <w:bdr w:val="none" w:color="auto" w:sz="0" w:space="0"/>
          <w:lang w:val="en-US" w:eastAsia="zh-CN" w:bidi="ar"/>
        </w:rPr>
        <w:t>重机电办〔</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24" w:afterAutospacing="0" w:line="200" w:lineRule="atLeast"/>
        <w:ind w:left="-440" w:right="-440"/>
        <w:jc w:val="center"/>
        <w:rPr>
          <w:i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drawing>
          <wp:inline distT="0" distB="0" distL="114300" distR="114300">
            <wp:extent cx="5781675"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81675" cy="19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40" w:right="-440"/>
        <w:jc w:val="center"/>
        <w:rPr>
          <w:i w:val="0"/>
          <w:sz w:val="28"/>
          <w:szCs w:val="28"/>
        </w:rPr>
      </w:pPr>
      <w:r>
        <w:rPr>
          <w:rFonts w:ascii="方正小标宋_GBK" w:hAnsi="方正小标宋_GBK" w:eastAsia="方正小标宋_GBK" w:cs="方正小标宋_GBK"/>
          <w:i w:val="0"/>
          <w:caps w:val="0"/>
          <w:color w:val="636363"/>
          <w:spacing w:val="0"/>
          <w:sz w:val="28"/>
          <w:szCs w:val="28"/>
          <w:bdr w:val="none" w:color="auto" w:sz="0" w:space="0"/>
        </w:rPr>
        <w:t>关于印发张国林校长在</w:t>
      </w:r>
      <w:r>
        <w:rPr>
          <w:rFonts w:hint="default" w:ascii="Times New Roman" w:hAnsi="Times New Roman" w:eastAsia="tamoha" w:cs="Times New Roman"/>
          <w:i w:val="0"/>
          <w:caps w:val="0"/>
          <w:color w:val="636363"/>
          <w:spacing w:val="0"/>
          <w:sz w:val="28"/>
          <w:szCs w:val="28"/>
          <w:bdr w:val="none" w:color="auto" w:sz="0" w:space="0"/>
        </w:rPr>
        <w:t>2022</w:t>
      </w:r>
      <w:r>
        <w:rPr>
          <w:rFonts w:hint="default" w:ascii="方正小标宋_GBK" w:hAnsi="方正小标宋_GBK" w:eastAsia="方正小标宋_GBK" w:cs="方正小标宋_GBK"/>
          <w:i w:val="0"/>
          <w:caps w:val="0"/>
          <w:color w:val="636363"/>
          <w:spacing w:val="0"/>
          <w:sz w:val="28"/>
          <w:szCs w:val="28"/>
          <w:bdr w:val="none" w:color="auto" w:sz="0" w:space="0"/>
        </w:rPr>
        <w:t>年春季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40" w:right="-440"/>
        <w:jc w:val="center"/>
        <w:rPr>
          <w:i w:val="0"/>
          <w:sz w:val="28"/>
          <w:szCs w:val="28"/>
        </w:rPr>
      </w:pPr>
      <w:r>
        <w:rPr>
          <w:rFonts w:hint="default" w:ascii="方正小标宋_GBK" w:hAnsi="方正小标宋_GBK" w:eastAsia="方正小标宋_GBK" w:cs="方正小标宋_GBK"/>
          <w:i w:val="0"/>
          <w:caps w:val="0"/>
          <w:color w:val="636363"/>
          <w:spacing w:val="0"/>
          <w:sz w:val="28"/>
          <w:szCs w:val="28"/>
          <w:bdr w:val="none" w:color="auto" w:sz="0" w:space="0"/>
        </w:rPr>
        <w:t>新学期开学干部会上讲话的通知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jc w:val="both"/>
        <w:rPr>
          <w:i w:val="0"/>
          <w:sz w:val="28"/>
          <w:szCs w:val="28"/>
        </w:rPr>
      </w:pPr>
      <w:r>
        <w:rPr>
          <w:rFonts w:hint="eastAsia" w:ascii="方正仿宋_GBK" w:hAnsi="方正仿宋_GBK" w:eastAsia="方正仿宋_GBK" w:cs="方正仿宋_GBK"/>
          <w:i w:val="0"/>
          <w:caps w:val="0"/>
          <w:color w:val="636363"/>
          <w:spacing w:val="0"/>
          <w:sz w:val="28"/>
          <w:szCs w:val="28"/>
          <w:bdr w:val="none" w:color="auto" w:sz="0" w:space="0"/>
        </w:rPr>
        <w:t>各学院、部门：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2</w:t>
      </w:r>
      <w:r>
        <w:rPr>
          <w:rFonts w:hint="eastAsia" w:ascii="方正仿宋_GBK" w:hAnsi="方正仿宋_GBK" w:eastAsia="方正仿宋_GBK" w:cs="方正仿宋_GBK"/>
          <w:i w:val="0"/>
          <w:caps w:val="0"/>
          <w:color w:val="636363"/>
          <w:spacing w:val="0"/>
          <w:sz w:val="28"/>
          <w:szCs w:val="28"/>
          <w:bdr w:val="none" w:color="auto" w:sz="0" w:space="0"/>
        </w:rPr>
        <w:t>月</w:t>
      </w:r>
      <w:r>
        <w:rPr>
          <w:rFonts w:hint="default" w:ascii="Times New Roman" w:hAnsi="Times New Roman" w:eastAsia="tamoha" w:cs="Times New Roman"/>
          <w:i w:val="0"/>
          <w:caps w:val="0"/>
          <w:color w:val="636363"/>
          <w:spacing w:val="0"/>
          <w:sz w:val="28"/>
          <w:szCs w:val="28"/>
          <w:bdr w:val="none" w:color="auto" w:sz="0" w:space="0"/>
        </w:rPr>
        <w:t>18</w:t>
      </w:r>
      <w:r>
        <w:rPr>
          <w:rFonts w:hint="eastAsia" w:ascii="方正仿宋_GBK" w:hAnsi="方正仿宋_GBK" w:eastAsia="方正仿宋_GBK" w:cs="方正仿宋_GBK"/>
          <w:i w:val="0"/>
          <w:caps w:val="0"/>
          <w:color w:val="636363"/>
          <w:spacing w:val="0"/>
          <w:sz w:val="28"/>
          <w:szCs w:val="28"/>
          <w:bdr w:val="none" w:color="auto" w:sz="0" w:space="0"/>
        </w:rPr>
        <w:t>日新学期开学伊始，张国林校长在学校干部会议上作了《整改 </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迎评</w:t>
      </w:r>
      <w:r>
        <w:rPr>
          <w:rFonts w:hint="default" w:ascii="Times New Roman" w:hAnsi="Times New Roman" w:eastAsia="tamoha" w:cs="Times New Roman"/>
          <w:i w:val="0"/>
          <w:caps w:val="0"/>
          <w:color w:val="636363"/>
          <w:spacing w:val="0"/>
          <w:sz w:val="28"/>
          <w:szCs w:val="28"/>
          <w:bdr w:val="none" w:color="auto" w:sz="0" w:space="0"/>
        </w:rPr>
        <w:t>” </w:t>
      </w:r>
      <w:r>
        <w:rPr>
          <w:rFonts w:hint="eastAsia" w:ascii="方正仿宋_GBK" w:hAnsi="方正仿宋_GBK" w:eastAsia="方正仿宋_GBK" w:cs="方正仿宋_GBK"/>
          <w:i w:val="0"/>
          <w:caps w:val="0"/>
          <w:color w:val="636363"/>
          <w:spacing w:val="0"/>
          <w:sz w:val="28"/>
          <w:szCs w:val="28"/>
          <w:bdr w:val="none" w:color="auto" w:sz="0" w:space="0"/>
        </w:rPr>
        <w:t>促试点》的动员讲话。现将讲话主要内容整理印发给你们，请全校干部、教职工学习领会讲话精神，传递工作压力，理清工作思·，谋划重点工作，确保</w:t>
      </w:r>
      <w:r>
        <w:rPr>
          <w:rFonts w:hint="default" w:ascii="Times New Roman" w:hAnsi="Times New Roman" w:eastAsia="tamoha" w:cs="Times New Roman"/>
          <w:i w:val="0"/>
          <w:caps w:val="0"/>
          <w:color w:val="636363"/>
          <w:spacing w:val="0"/>
          <w:sz w:val="28"/>
          <w:szCs w:val="28"/>
          <w:bdr w:val="none" w:color="auto" w:sz="0" w:space="0"/>
        </w:rPr>
        <w:t>2022</w:t>
      </w:r>
      <w:r>
        <w:rPr>
          <w:rFonts w:hint="eastAsia" w:ascii="方正仿宋_GBK" w:hAnsi="方正仿宋_GBK" w:eastAsia="方正仿宋_GBK" w:cs="方正仿宋_GBK"/>
          <w:i w:val="0"/>
          <w:caps w:val="0"/>
          <w:color w:val="636363"/>
          <w:spacing w:val="0"/>
          <w:sz w:val="28"/>
          <w:szCs w:val="28"/>
          <w:bdr w:val="none" w:color="auto" w:sz="0" w:space="0"/>
        </w:rPr>
        <w:t>年</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整改</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迎评</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试点</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各项工作任务顺利落实。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4640"/>
        <w:jc w:val="left"/>
        <w:rPr>
          <w:i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重庆机电职业技术大学办公室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left"/>
        <w:rPr>
          <w:i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left"/>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left"/>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440" w:right="-440" w:firstLine="640"/>
        <w:jc w:val="left"/>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220"/>
        <w:jc w:val="left"/>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220"/>
        <w:jc w:val="left"/>
        <w:rPr>
          <w:i w:val="0"/>
          <w:sz w:val="28"/>
          <w:szCs w:val="28"/>
        </w:rPr>
      </w:pPr>
      <w:r>
        <w:rPr>
          <w:rFonts w:hint="default" w:ascii="Times New Roman" w:hAnsi="Times New Roman" w:eastAsia="tamoha" w:cs="Times New Roman"/>
          <w:i w:val="0"/>
          <w:caps w:val="0"/>
          <w:color w:val="636363"/>
          <w:spacing w:val="0"/>
          <w:sz w:val="28"/>
          <w:szCs w:val="28"/>
          <w:bdr w:val="none" w:color="auto" w:sz="0" w:space="0"/>
        </w:rPr>
        <w:t> </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jc w:val="center"/>
        </w:trPr>
        <w:tc>
          <w:tcPr>
            <w:tcW w:w="9071" w:type="dxa"/>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20" w:right="220"/>
              <w:jc w:val="left"/>
              <w:rPr>
                <w:i w:val="0"/>
                <w:sz w:val="28"/>
                <w:szCs w:val="28"/>
              </w:rPr>
            </w:pPr>
            <w:r>
              <w:rPr>
                <w:rFonts w:hint="eastAsia" w:ascii="方正仿宋_GBK" w:hAnsi="方正仿宋_GBK" w:eastAsia="方正仿宋_GBK" w:cs="方正仿宋_GBK"/>
                <w:b w:val="0"/>
                <w:i w:val="0"/>
                <w:kern w:val="0"/>
                <w:sz w:val="28"/>
                <w:szCs w:val="28"/>
                <w:bdr w:val="none" w:color="auto" w:sz="0" w:space="0"/>
                <w:lang w:val="en-US" w:eastAsia="zh-CN" w:bidi="ar"/>
              </w:rPr>
              <w:t>重庆机电职业技术大学办公室</w:t>
            </w:r>
            <w:r>
              <w:rPr>
                <w:rFonts w:hint="default" w:ascii="Times New Roman" w:hAnsi="Times New Roman" w:cs="Times New Roman" w:eastAsiaTheme="minorEastAsia"/>
                <w:b w:val="0"/>
                <w:i w:val="0"/>
                <w:kern w:val="0"/>
                <w:sz w:val="28"/>
                <w:szCs w:val="28"/>
                <w:bdr w:val="none" w:color="auto" w:sz="0" w:space="0"/>
                <w:lang w:val="en-US" w:eastAsia="zh-CN" w:bidi="ar"/>
              </w:rPr>
              <w:t>              2022</w:t>
            </w:r>
            <w:r>
              <w:rPr>
                <w:rFonts w:hint="eastAsia" w:ascii="方正仿宋_GBK" w:hAnsi="方正仿宋_GBK" w:eastAsia="方正仿宋_GBK" w:cs="方正仿宋_GBK"/>
                <w:b w:val="0"/>
                <w:i w:val="0"/>
                <w:kern w:val="0"/>
                <w:sz w:val="28"/>
                <w:szCs w:val="28"/>
                <w:bdr w:val="none" w:color="auto" w:sz="0" w:space="0"/>
                <w:lang w:val="en-US" w:eastAsia="zh-CN" w:bidi="ar"/>
              </w:rPr>
              <w:t>年</w:t>
            </w:r>
            <w:r>
              <w:rPr>
                <w:rFonts w:hint="default" w:ascii="Times New Roman" w:hAnsi="Times New Roman" w:cs="Times New Roman" w:eastAsiaTheme="minorEastAsia"/>
                <w:b w:val="0"/>
                <w:i w:val="0"/>
                <w:kern w:val="0"/>
                <w:sz w:val="28"/>
                <w:szCs w:val="28"/>
                <w:bdr w:val="none" w:color="auto" w:sz="0" w:space="0"/>
                <w:lang w:val="en-US" w:eastAsia="zh-CN" w:bidi="ar"/>
              </w:rPr>
              <w:t>2</w:t>
            </w:r>
            <w:r>
              <w:rPr>
                <w:rFonts w:hint="eastAsia" w:ascii="方正仿宋_GBK" w:hAnsi="方正仿宋_GBK" w:eastAsia="方正仿宋_GBK" w:cs="方正仿宋_GBK"/>
                <w:b w:val="0"/>
                <w:i w:val="0"/>
                <w:kern w:val="0"/>
                <w:sz w:val="28"/>
                <w:szCs w:val="28"/>
                <w:bdr w:val="none" w:color="auto" w:sz="0" w:space="0"/>
                <w:lang w:val="en-US" w:eastAsia="zh-CN" w:bidi="ar"/>
              </w:rPr>
              <w:t>月</w:t>
            </w:r>
            <w:r>
              <w:rPr>
                <w:rFonts w:hint="default" w:ascii="Times New Roman" w:hAnsi="Times New Roman" w:cs="Times New Roman" w:eastAsiaTheme="minorEastAsia"/>
                <w:b w:val="0"/>
                <w:i w:val="0"/>
                <w:kern w:val="0"/>
                <w:sz w:val="28"/>
                <w:szCs w:val="28"/>
                <w:bdr w:val="none" w:color="auto" w:sz="0" w:space="0"/>
                <w:lang w:val="en-US" w:eastAsia="zh-CN" w:bidi="ar"/>
              </w:rPr>
              <w:t>19</w:t>
            </w:r>
            <w:r>
              <w:rPr>
                <w:rFonts w:hint="eastAsia" w:ascii="方正仿宋_GBK" w:hAnsi="方正仿宋_GBK" w:eastAsia="方正仿宋_GBK" w:cs="方正仿宋_GBK"/>
                <w:b w:val="0"/>
                <w:i w:val="0"/>
                <w:kern w:val="0"/>
                <w:sz w:val="28"/>
                <w:szCs w:val="28"/>
                <w:bdr w:val="none" w:color="auto" w:sz="0" w:space="0"/>
                <w:lang w:val="en-US" w:eastAsia="zh-CN" w:bidi="ar"/>
              </w:rPr>
              <w:t>日印发</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440" w:right="-440"/>
        <w:jc w:val="left"/>
        <w:rPr>
          <w:i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440" w:right="-440"/>
        <w:jc w:val="left"/>
        <w:rPr>
          <w:i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440" w:right="-440"/>
        <w:jc w:val="left"/>
        <w:rPr>
          <w:i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440" w:right="-440"/>
        <w:jc w:val="left"/>
        <w:rPr>
          <w:i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198" w:right="-198"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整改</w:t>
      </w:r>
      <w:r>
        <w:rPr>
          <w:rFonts w:hint="default" w:ascii="Times New Roman" w:hAnsi="Times New Roman" w:eastAsia="tamoha" w:cs="Times New Roman"/>
          <w:i w:val="0"/>
          <w:caps w:val="0"/>
          <w:color w:val="636363"/>
          <w:spacing w:val="0"/>
          <w:kern w:val="0"/>
          <w:sz w:val="44"/>
          <w:szCs w:val="44"/>
          <w:bdr w:val="none" w:color="auto" w:sz="0" w:space="0"/>
          <w:lang w:val="en-US" w:eastAsia="zh-CN" w:bidi="ar"/>
        </w:rPr>
        <w:t> </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迎评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促试点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年春季新学期开学干部会上的讲话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校长：张国林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年《国家职业教育改革实施方案》开宗明义的第一句话，也是国家文件第一次讲这样的话，</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职业教育与普通教育是两种不同教育类型，具有同等重要地λ</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。那ô，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年经教育部批准成立试点的本科层次职业技术大学，就是一个与普通教育不同的教育类型，即是一个新的教育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品种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。新在这个</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品种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û有现成模样。职业教育早就有，但û有正式列其为一种不同的类型；本科教育早就有，但û有本科层次的职业教育。怎ô有别于普通教育而真正成其为一个不同的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类型</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，就需要试点，需要真正转向新的、不同的类型。怎ô试</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怎ô转</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ascii="方正黑体_GBK" w:hAnsi="方正黑体_GBK" w:eastAsia="方正黑体_GBK" w:cs="方正黑体_GBK"/>
          <w:b/>
          <w:i w:val="0"/>
          <w:caps w:val="0"/>
          <w:color w:val="636363"/>
          <w:spacing w:val="0"/>
          <w:kern w:val="0"/>
          <w:sz w:val="28"/>
          <w:szCs w:val="28"/>
          <w:bdr w:val="none" w:color="auto" w:sz="0" w:space="0"/>
          <w:lang w:val="en-US" w:eastAsia="zh-CN" w:bidi="ar"/>
        </w:rPr>
        <w:t>一、向本科学校转型是</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根据</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两种不同教育类型</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的概念，职业教育是有别于普通教育的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类型</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，而不是原来普通教育中的一个层次。本科层次职业教育具有</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职业教育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两个属性。原有的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职业教育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属性不但不能变，即在û有更换职业教育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跑道</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基础上，而且还需要突出其</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职业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特色，使其具有一种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类型</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的显示性和标志性。怎样使其具有鲜明的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职业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属性</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怎样真正成为同等重要的一种类型</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所以需要向</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职业教育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类型和层次升格的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。更主要的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和转型应在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升格上。因为职业教育新设</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，本科层次是职业教育这个类型中全新的、引人注目</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的破局点，是打破职业教育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天花板</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关键，是《国家职业教育改革实施方案》的显著亮点。所以，学校需要尽快从专科层次向本科层次转型，进行升格后的合格职业本科学校建设，提升职业本科教育办学质量，即认真扎实做好职业本科办学质量提升整改和迎接本科教学工作合格评估，才能完成教育部赋予学校的本科层次职业教育试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历史上，我校已几次因转型而获得发展。上世纪七十年代初，学校因职业技术教育需要而诞生。在</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多年的职业技术教育办学历史中的第一次转型，是</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2003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年在重庆兵工职业大学的基础上转为全日制高等职业院校，举办职业技术专科学历教育。第二次转型是十年后，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年又从大型国有企业办学转制为民办高职院校。第三次转型是在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年底教育部批准升格为本科院校，并成为全国首批本科层次职业学校改革试点单λ，</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月更名为职业技术大学，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年起面向全国招收本科学生，正式开启本科层次职业教育试点工作。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这几次转型虽有从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国有</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民办</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的转变，即学校有由</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民</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性质变化，但从办学的角度看，最根本的转型还是办学层次上的大调整。成人教育到学历教育、专科层次教育到本科层次教育都是办学层次上发展性质的大转型，但这次从专科学校升格到本科学校，这是学校历史性、里程碑式</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向上走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升格的根本转型。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这次的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，是办本科的试点，不是办专科的试点。学校从专科层次升格本科层次，校名由</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学院</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更名为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大学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，这意ζ着国家对培养高层次技术技能人才有很高的定λ与期待。根据教育部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教发函（</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文，即教育部更名大学的文件，第一条就明确</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重庆机电职业技术大学系民办本科层次职业教育试点学校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按照国家关于本科层次职业教育试点工作</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进行部署。根据重庆市教委报教育部核准的《重庆机电职业技术大学章程》，其中对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办学类型、办学层次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有明确规定。如第一章的第三条、第二章的第八条对本科为主都有明确表述。如第三条中的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办学类型、性质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规定，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学校坚持职业教育的办学属性，开展全日制民办本科层次职业教育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。第八条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办学层次和服务面向</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中规定：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学校以全日制本科层次职业教育为主</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历史性的职业教育学历层次结构上移，也是因数字经济形态的到来，由数字化、智能化以及大数据等新技术引发的挑战，产业结构的高级化导致对培养人才的教育要求以及从业者的能力水平发生巨大变化，使得职业教育学历结构重心上移成为必然。既然教育部已经正式批准学校在办学层次上升格到本科层次，那就应该按照教育部的文件规定，在给与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时间内实现由专科教育向本科教育的转型。即办学层次定λ不能再停留在专科层面，应立足于本科层次办学，加快调研论证并举办新的本科专业，增加本科专业与扩大本科学生的比例。各种校内规章制度也应面向本科而加快修改制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结束或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成功的显著标志，应该是学校成功完成由专科学校向本科学校的转变。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二、提升办学质量建设合格职业本科学校是</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的目标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由</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升格</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合格</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是一项艰难的质量工程，是艰巨的整改建设过程。根据教育部职成司</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下发的《关于指导做好职业本科试点学校办学质量改进提升有关工作的通知》和针对我校提出的《重庆机电职业技术大学办学及职教本科专业建设意见》，我校进行认真自查、深入研究，制定了《重庆机电职业技术大学职业本科试点学校办学质量改进提升整改方案》，并立即启动了试点整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学校确立了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问题导向、突出重点、系统整改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阶段性整改与建立长效机制相结合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整改工作与当前建设工作相结合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完善规范与提质培优相结合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整改工作与巩固阶段性试点成果相结合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的基本工作思·，把提升职业本科教育办学水平的整改工作与转型建本促试点紧密结合。目前，学校已在吕中理事长亲自担任组长的具体领导下，明确了整改目标与具体工作任务，提出了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项职业本科试点整改工作目标、</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项具体工作任务，倒排日期，逐项整改。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根据《中华人民共和国高等教育法》第二章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高等教育基本制度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中的第</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条和第</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条，我们知道，高等教育包括学历教育和非学历教育，而高等学历教育分为专科教育、本科教育和研究生教育。因为研究生教育含在本科院校，所以，层次上高校的设置到本科这一层就到顶了。高等教育法第</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条规定，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大学、独立设置的学院主要实施本科及本科以上教育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，第</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条还规定，称为大学的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能够实施本科及本科以上教育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。如果按照教育部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印发的《本科层次职业学校设置标准（试行）》，举办职业本科，在办学定λ、治理水平、办学规模、专业设置、师资队伍、人才培养、科研与社会服务、基础设施、办学经费等方面都有明确很高的要求。如在办学规模中要求</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全日制在校生规模应在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8000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人以上</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；专业设置上要求</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对接国家和区域主导产业、支柱产业和战略性新兴产业设置专业，有</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个以上专业群，原则上ÿ个专业群含</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个专业，建有专业随产业发展动态调整机制，专业（群）结构总体合理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。师资队伍数量和结构要求</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专任教师总数不少于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人，具有硕士及以上学λ的教师数占专任教师总数的比例应不低于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，具有高级专业技术职务的专任教师人数一般应不低于专任教师总数的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，其中具有正高级专业技术职务的专任教师应不少于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。由于是职业本科，还要求</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专任专业课教师中，具有三年以上企业工作经历，或近五年累计不低于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个月到企业或生产服务一线实践经历的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双师型</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教师比例不低于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。在中国办高等教育，名称上</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大学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也就到顶了。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升本后学校发展总体思·是，</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实现由升本到建本</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的历史性转变，即转型建本促试点，全面进行本科学校建设。在十四五期间，保证顺利成功完成本科层次职业教育试点工作，为建设合格职业技术大学提升办学水平高质量发展打下坚实基础。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三、迎接学士学λ授λ、本科合格评估是</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的重要抓手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其实，整改就是与即将进行的学士学λ审核验收、本科教学合格评估解决一样的问题。整改解决的问题与合格评估需要解决的问题完全是相同的问题。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合格评估是底线评价，是基本和最低要求，即入门的要求。本科教学合格评估是国家教育制度安排，是举办本科入场必须购买的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入场券</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，这是强制性的，新建本科学校只能积极响应和接受，这不是学校是否愿意、是否重视的问题，û有价钱可讲。评估决定权不在学校，学校只有规规矩矩</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买门票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入场。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某种意义上讲，整改与迎接学士学λ授λ、本科合格评估是学校脱胎换骨、痛苦的转型升格、成长成熟的过程，也是一次重大转型的机遇，是由升格到合格的建设过程。因为只有经过整改能达到并通过学λ授λ与本科合格评估，才能算是真正的升格，才算完成</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试点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任务迈向合格。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与其被动整改不如主动建设。整改与迎接合格评估是明确学校总体发展目标、奠定学校发展基础、持续改进提速发展的重大机遇，这是学校有û有使命感责任感的直接表现。本科教学合格评估本质上是为学校自己评，学校是最直接的受益者，广大师生也是最直接的受益者。不解决为谁评的问题，认识上就会出现偏差，行动上就会出现走样，效果上就会出现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教育部还û有正式下发关于职业本科学校教学工作合格评估的文件及指标体系（听说有一个征求意见稿），但可以参照《普通高等学校本科教学工作合格评估指标体系》。同属本科，评估的指导思想和原则应该是相同的。普通本科的教学工作合格评估核心内涵有</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“4321”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。即</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四个促进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，即促进办学经费投入；促进办学条件改善；促进教学管理规范；促进教学质量提高。其</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三个基本</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是：办学条件基本达到国家标准；教学管理基本规范；教学质量基本得到保证。职业本科的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两个突出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应该是：突出服务地方（行业）经济和社会发展、突出培养技能型人才的办学定λ。</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一个引导</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应该是，引导参评学校构建并逐步完善内部质量保障体系，形成不断提高教学质量的长效机制。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合格评估指标体系有：</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个一级指标，</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个二级指标，</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个观测点（民办</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领导体制）。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指标是尺子，我们要抓好抓实整改，迎接评估，就得学懂弄通评估的核心内涵和指标体系。核心内涵是整改和迎评的指引。指标体系界定了教学评估的主要内容，明确了各项定性与定量基本要求，是评估的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尺子</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和基本遵循，也得深刻领会内涵及本质。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40" w:right="-440" w:firstLine="64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拿评估的尺子量学校实际情况，我们差距很大，任务很重，所以全校上下得埋头苦干，踏实整改，把指标体系的硬性要求转化为我们迎评工作的内生动力。要通过本科合格评估，将投资者（举办者）的理念、管理者的目标、教职工的期盼、合格评估的要求统筹起来，力争全面达成。有问题真改，条件不达标真投入真建设，不掩盖不回避目前存在的问题，更不要期盼蒙混过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小标宋_GB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F4E7E"/>
    <w:rsid w:val="37EF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2024-07-18T15:46:00Z</dcterms:created>
  <dc:creator>wangwenyuan</dc:creator>
  <cp:lastModifiedBy>wangwenyuan</cp:lastModifiedBy>
  <dcterms:modified xsi:type="dcterms:W3CDTF">2024-07-18T15:46:49Z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